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E" w:rsidRPr="00D74B24" w:rsidRDefault="00D74B24" w:rsidP="00D74B24">
      <w:pPr>
        <w:pStyle w:val="prastasistinklapis"/>
        <w:jc w:val="center"/>
        <w:rPr>
          <w:b/>
          <w:sz w:val="28"/>
        </w:rPr>
      </w:pPr>
      <w:r w:rsidRPr="00D74B24">
        <w:rPr>
          <w:b/>
          <w:sz w:val="28"/>
        </w:rPr>
        <w:t>Projektas „</w:t>
      </w:r>
      <w:r>
        <w:rPr>
          <w:b/>
          <w:sz w:val="28"/>
        </w:rPr>
        <w:t>M</w:t>
      </w:r>
      <w:r w:rsidRPr="00D74B24">
        <w:rPr>
          <w:b/>
          <w:sz w:val="28"/>
        </w:rPr>
        <w:t>uziejus-mokykla-moksleivis. Muziejų ir bendrojo lavinimo mokyklų nacionalinis partnerystės tinklas“</w:t>
      </w:r>
    </w:p>
    <w:p w:rsidR="0017070E" w:rsidRDefault="0017070E" w:rsidP="00D74B24">
      <w:pPr>
        <w:pStyle w:val="prastasistinklapis"/>
        <w:ind w:firstLine="709"/>
        <w:jc w:val="both"/>
      </w:pPr>
      <w:r>
        <w:t>Lietuvos muziejų asociacijos projekto „Muziejus-mokykla-moksleivis. Muziejų ir bendrojo lavinimo mokyklų nacionalinis partnerystės tinklas“, įgyvendinamo pagal 2007–2013 m. Žmogiškųjų išteklių plėtros veiksmų programos 2 prioriteto „Mokymasis visą gyvenimą“ VP1-2.2-ŠMM-10-V priemonę „Neformaliojo švietimo paslaugų plėtra“, partnerio-muziejaus neformaliojo švietimo edukacinė programa „Viduramžių, renesanso ir ankstyvojo baroko muzika Lietuvos didžiųjų kunigaikščių dvare“.</w:t>
      </w:r>
    </w:p>
    <w:p w:rsidR="005C2623" w:rsidRDefault="00D74B24">
      <w:bookmarkStart w:id="0" w:name="_GoBack"/>
      <w:bookmarkEnd w:id="0"/>
    </w:p>
    <w:sectPr w:rsidR="005C26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0E"/>
    <w:rsid w:val="0017070E"/>
    <w:rsid w:val="0077086C"/>
    <w:rsid w:val="00D74B24"/>
    <w:rsid w:val="00D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7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7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2020-12-08T14:22:00Z</dcterms:created>
  <dcterms:modified xsi:type="dcterms:W3CDTF">2020-12-08T14:56:00Z</dcterms:modified>
</cp:coreProperties>
</file>